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19CE25BA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8B5F79">
        <w:rPr>
          <w:sz w:val="28"/>
          <w:szCs w:val="28"/>
        </w:rPr>
        <w:t>районный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местной жительницы</w:t>
      </w:r>
      <w:r w:rsidR="00010677">
        <w:rPr>
          <w:sz w:val="28"/>
          <w:szCs w:val="28"/>
        </w:rPr>
        <w:t>, обвиняемо</w:t>
      </w:r>
      <w:r w:rsidR="000A6456">
        <w:rPr>
          <w:sz w:val="28"/>
          <w:szCs w:val="28"/>
        </w:rPr>
        <w:t>й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8B5C44">
        <w:rPr>
          <w:spacing w:val="-1"/>
          <w:sz w:val="28"/>
          <w:szCs w:val="28"/>
        </w:rPr>
        <w:t>3</w:t>
      </w:r>
      <w:r w:rsidR="00A95C0E">
        <w:rPr>
          <w:spacing w:val="-1"/>
          <w:sz w:val="28"/>
          <w:szCs w:val="28"/>
        </w:rPr>
        <w:t xml:space="preserve"> ст.</w:t>
      </w:r>
      <w:r w:rsidR="008B5F79">
        <w:rPr>
          <w:spacing w:val="-1"/>
          <w:sz w:val="28"/>
          <w:szCs w:val="28"/>
        </w:rPr>
        <w:t xml:space="preserve"> 30 – п. «г» ч. 4 ст. 228.1 УК РФ</w:t>
      </w:r>
      <w:r w:rsidR="008B5F79">
        <w:rPr>
          <w:sz w:val="28"/>
          <w:szCs w:val="28"/>
        </w:rPr>
        <w:t>.</w:t>
      </w:r>
    </w:p>
    <w:p w14:paraId="2E1C2127" w14:textId="0C8E1F74" w:rsidR="004B5AAF" w:rsidRPr="00757A1A" w:rsidRDefault="000A6456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обвиняемая</w:t>
      </w:r>
      <w:r w:rsidR="008B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осуществления закладки наркотических средств – </w:t>
      </w:r>
      <w:proofErr w:type="spellStart"/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эфедрона</w:t>
      </w:r>
      <w:proofErr w:type="spellEnd"/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с. </w:t>
      </w:r>
      <w:proofErr w:type="spellStart"/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Такалай</w:t>
      </w:r>
      <w:proofErr w:type="spellEnd"/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Буйнакского района намеревалась сбыть наркотические средства другим лицам, совершив действия, направленные на их последующую реализацию, но не смогла довести свой преступный умысел, направленный на незаконный сбыт наркотического средства, до конца</w:t>
      </w:r>
      <w:bookmarkStart w:id="0" w:name="_GoBack"/>
      <w:bookmarkEnd w:id="0"/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изъятием вышеуказанного наркотического средства из незаконного оборота сотрудниками полиции в ходе проведения ими оперативно-розыскных мероприятий, то есть по независящим от нее обстоятельствам. </w:t>
      </w:r>
    </w:p>
    <w:p w14:paraId="532D4E82" w14:textId="52A0535B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20 лет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6320" w14:textId="77777777" w:rsidR="00645DD7" w:rsidRDefault="00645DD7" w:rsidP="007212FD">
      <w:pPr>
        <w:spacing w:after="0" w:line="240" w:lineRule="auto"/>
      </w:pPr>
      <w:r>
        <w:separator/>
      </w:r>
    </w:p>
  </w:endnote>
  <w:endnote w:type="continuationSeparator" w:id="0">
    <w:p w14:paraId="3FD7082F" w14:textId="77777777" w:rsidR="00645DD7" w:rsidRDefault="00645DD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EBB5" w14:textId="77777777" w:rsidR="00645DD7" w:rsidRDefault="00645DD7" w:rsidP="007212FD">
      <w:pPr>
        <w:spacing w:after="0" w:line="240" w:lineRule="auto"/>
      </w:pPr>
      <w:r>
        <w:separator/>
      </w:r>
    </w:p>
  </w:footnote>
  <w:footnote w:type="continuationSeparator" w:id="0">
    <w:p w14:paraId="44E3B317" w14:textId="77777777" w:rsidR="00645DD7" w:rsidRDefault="00645DD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13FD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45DD7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5C44"/>
    <w:rsid w:val="008B5F79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ABEC92-E3A1-4EDB-A9F5-4049BDFA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16</cp:revision>
  <cp:lastPrinted>2024-02-01T14:46:00Z</cp:lastPrinted>
  <dcterms:created xsi:type="dcterms:W3CDTF">2024-11-12T14:20:00Z</dcterms:created>
  <dcterms:modified xsi:type="dcterms:W3CDTF">2025-06-23T14:55:00Z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